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4820"/>
      </w:tblGrid>
      <w:tr w:rsidR="00F7373D" w:rsidTr="00F7373D">
        <w:trPr>
          <w:trHeight w:val="2520"/>
        </w:trPr>
        <w:tc>
          <w:tcPr>
            <w:tcW w:w="4928" w:type="dxa"/>
          </w:tcPr>
          <w:p w:rsidR="00F7373D" w:rsidRDefault="00F7373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АДМИНИСТРАЦИЯ</w:t>
            </w:r>
          </w:p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муниципального образования</w:t>
            </w:r>
          </w:p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Надеждинский сельсовет</w:t>
            </w:r>
          </w:p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Саракташского района</w:t>
            </w:r>
          </w:p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Оренбургской области</w:t>
            </w:r>
          </w:p>
          <w:p w:rsidR="00F7373D" w:rsidRDefault="00F7373D">
            <w:pPr>
              <w:rPr>
                <w:sz w:val="16"/>
                <w:szCs w:val="16"/>
              </w:rPr>
            </w:pPr>
          </w:p>
          <w:p w:rsidR="00F7373D" w:rsidRDefault="00F7373D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 w:val="0"/>
                <w:sz w:val="28"/>
                <w:szCs w:val="28"/>
              </w:rPr>
              <w:t>РАСПОРЯЖЕНИЕ</w:t>
            </w:r>
          </w:p>
          <w:p w:rsidR="00F7373D" w:rsidRDefault="00F7373D">
            <w:pPr>
              <w:rPr>
                <w:sz w:val="16"/>
                <w:szCs w:val="16"/>
              </w:rPr>
            </w:pPr>
          </w:p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12.05.2017 г.      № 8-р</w:t>
            </w:r>
          </w:p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с. Надеждинка</w:t>
            </w:r>
          </w:p>
          <w:p w:rsidR="00F7373D" w:rsidRDefault="00F7373D">
            <w:pPr>
              <w:jc w:val="center"/>
            </w:pPr>
          </w:p>
        </w:tc>
        <w:tc>
          <w:tcPr>
            <w:tcW w:w="283" w:type="dxa"/>
          </w:tcPr>
          <w:p w:rsidR="00F7373D" w:rsidRDefault="00F7373D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F7373D" w:rsidRDefault="00F7373D">
            <w:pPr>
              <w:rPr>
                <w:sz w:val="28"/>
              </w:rPr>
            </w:pPr>
          </w:p>
        </w:tc>
      </w:tr>
    </w:tbl>
    <w:p w:rsidR="00F7373D" w:rsidRDefault="00F7373D" w:rsidP="00F7373D">
      <w:pPr>
        <w:rPr>
          <w:sz w:val="28"/>
          <w:szCs w:val="28"/>
        </w:rPr>
      </w:pPr>
    </w:p>
    <w:p w:rsidR="00F7373D" w:rsidRDefault="00F7373D" w:rsidP="00F7373D">
      <w:pPr>
        <w:ind w:right="53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373D" w:rsidRDefault="00F7373D" w:rsidP="00F7373D">
      <w:pPr>
        <w:ind w:right="5384"/>
        <w:jc w:val="center"/>
        <w:rPr>
          <w:sz w:val="28"/>
          <w:szCs w:val="28"/>
        </w:rPr>
      </w:pPr>
    </w:p>
    <w:p w:rsidR="00F7373D" w:rsidRDefault="00F7373D" w:rsidP="00F7373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нормативных затрат на обеспечение</w:t>
      </w:r>
    </w:p>
    <w:p w:rsidR="00F7373D" w:rsidRDefault="00F7373D" w:rsidP="00F7373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функций муниципального органа</w:t>
      </w: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пункта 2 части 4 статьи 19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Постановления Администрации муниципального образования Надеждинский сельсовет № 26-п от 24.04.2017 г.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 порядке определения нормативных затрат на обеспечение функций муниципального органа»:</w:t>
      </w: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нормативные затраты на обеспечение функций Администрации Надеждинского сельсовета, согласно приложению.</w:t>
      </w:r>
      <w:bookmarkStart w:id="1" w:name="P17"/>
      <w:bookmarkEnd w:id="1"/>
    </w:p>
    <w:p w:rsidR="00F7373D" w:rsidRDefault="00F7373D" w:rsidP="00F73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F7373D" w:rsidRDefault="00F7373D" w:rsidP="00F73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после его официального опубликования, и распространяется на правоотношения возникшие с 1 января 2017 года.</w:t>
      </w:r>
    </w:p>
    <w:p w:rsidR="00F7373D" w:rsidRDefault="00F7373D" w:rsidP="00F737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Надеждинский сельсовет                                                       Г.Н. Кукушкин</w:t>
      </w: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комиссии, сайт администрации.</w:t>
      </w:r>
    </w:p>
    <w:p w:rsidR="00F7373D" w:rsidRDefault="00F7373D" w:rsidP="00F737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373D" w:rsidRDefault="00F7373D" w:rsidP="00F7373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7373D" w:rsidRDefault="00F7373D" w:rsidP="00F7373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определения</w:t>
      </w:r>
    </w:p>
    <w:p w:rsidR="00F7373D" w:rsidRDefault="00F7373D" w:rsidP="00F7373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нормативных затрат</w:t>
      </w:r>
    </w:p>
    <w:p w:rsidR="00F7373D" w:rsidRDefault="00F7373D" w:rsidP="00F7373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обеспечение функций</w:t>
      </w:r>
    </w:p>
    <w:p w:rsidR="00F7373D" w:rsidRDefault="00F7373D" w:rsidP="00F73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F7373D" w:rsidRDefault="00F7373D" w:rsidP="00F73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Надеждинский сельсовет</w:t>
      </w:r>
    </w:p>
    <w:p w:rsidR="00F7373D" w:rsidRDefault="00F7373D" w:rsidP="00F73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bookmarkStart w:id="2" w:name="P880"/>
      <w:bookmarkEnd w:id="2"/>
      <w:r>
        <w:rPr>
          <w:b/>
          <w:sz w:val="28"/>
          <w:szCs w:val="28"/>
        </w:rPr>
        <w:t xml:space="preserve">Нормативы обеспечения функций администрации, применяемые при расчете нормативных затрат на приобретение средств подвижной связи и на оказание услуг подвижной связи (в том числе нормативы количества абонентских номеров пользовательского (оконечного) оборудования, подключенного к сети подвижной связи и нормативы количества </w:t>
      </w:r>
      <w:r>
        <w:rPr>
          <w:b/>
          <w:sz w:val="28"/>
          <w:szCs w:val="28"/>
          <w:lang w:val="en-US"/>
        </w:rPr>
        <w:t>SIM</w:t>
      </w:r>
      <w:r>
        <w:rPr>
          <w:b/>
          <w:sz w:val="28"/>
          <w:szCs w:val="28"/>
        </w:rPr>
        <w:t>-карт</w:t>
      </w:r>
    </w:p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409"/>
        <w:gridCol w:w="1985"/>
        <w:gridCol w:w="1984"/>
      </w:tblGrid>
      <w:tr w:rsidR="00F7373D" w:rsidTr="00F7373D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Цена приобретения средств связи </w:t>
            </w:r>
            <w:hyperlink r:id="rId5" w:anchor="Par907#Par90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F7373D" w:rsidTr="00F7373D">
        <w:trPr>
          <w:trHeight w:val="1749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7,0 тыс. рублей включительно за 1 единицу в расчете на муниципального служащего замещающего должность, относящуюся к высшей группе должностей категории "руководители"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0,5 тыс. рублей включительно в расчете на муниципального служащего, замещающего должность, относящуюся к высшей группе должностей категории "руководители" </w:t>
            </w:r>
            <w:hyperlink r:id="rId6" w:anchor="Par908#Par9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Реестром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 Оренбургской области, утвержденным Законом Оренбургской области от 10.10.2007 N1599/344-IV-ОЗ «О едином реестре муниципальных должностей и должностей муниципальной службы в Оренбургской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области» </w:t>
            </w:r>
            <w:hyperlink r:id="rId8" w:anchor="Par908#Par9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&lt;***&gt;</w:t>
              </w:r>
            </w:hyperlink>
          </w:p>
        </w:tc>
      </w:tr>
      <w:tr w:rsidR="00F7373D" w:rsidTr="00F7373D">
        <w:trPr>
          <w:trHeight w:val="209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ведущей группе должностей категории "специалисты" или "обеспечивающие специалисты"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тыс. рублей включительно за 1 единицу в расчете на муниципального служащего, замещающего должность, относящуюся к ведущей группе должностей, или должность категории "специалисты" или "обеспечивающие специалисты"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0,5 тыс. рублей в расчете на муниципального служащего, замещающего должность, относящуюся к ведущей группе должностей категории "специалисты" или "обеспечивающие специалисты" </w:t>
            </w:r>
            <w:hyperlink r:id="rId9" w:anchor="Par908#Par9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&lt;**&gt;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реестром; </w:t>
            </w:r>
            <w:hyperlink r:id="rId10" w:anchor="Par909#Par9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&lt;***&gt;</w:t>
              </w:r>
            </w:hyperlink>
          </w:p>
        </w:tc>
      </w:tr>
    </w:tbl>
    <w:p w:rsidR="00F7373D" w:rsidRDefault="00F7373D" w:rsidP="00F73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F7373D" w:rsidRDefault="00F7373D" w:rsidP="00F73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 Объем расходов, рассчитанный с применением нормативных затрат на приобретение подвижной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Начальники отделов обеспечиваются средствами связи по решению руководителей органов местного самоуправления. Также по решению руководителей органов местного самоуправления указанной категории работников осуществляется возмещение расходов на услуги связи.</w:t>
      </w:r>
    </w:p>
    <w:p w:rsidR="00F7373D" w:rsidRDefault="00F7373D" w:rsidP="00F7373D">
      <w:pPr>
        <w:overflowPunct w:val="0"/>
        <w:jc w:val="center"/>
        <w:textAlignment w:val="baseline"/>
        <w:rPr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Нормативы обеспечения функций администрации, применяемые при расчете нормативных затрат на приобретение служебного легкового транспорта</w:t>
      </w:r>
    </w:p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268"/>
        <w:gridCol w:w="2410"/>
      </w:tblGrid>
      <w:tr w:rsidR="00F7373D" w:rsidTr="00F7373D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7373D" w:rsidTr="00F7373D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F7373D" w:rsidTr="00F7373D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более 200 лошадиных сил включительно для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73D" w:rsidRDefault="00F7373D">
            <w:pPr>
              <w:pStyle w:val="ConsPlusNormal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млн. рублей и не более 200 лошадиных сил включительно</w:t>
            </w:r>
          </w:p>
        </w:tc>
      </w:tr>
    </w:tbl>
    <w:p w:rsidR="00F7373D" w:rsidRDefault="00F7373D" w:rsidP="00F7373D">
      <w:pPr>
        <w:overflowPunct w:val="0"/>
        <w:jc w:val="center"/>
        <w:textAlignment w:val="baseline"/>
        <w:rPr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Нормативы обеспечения функций администрации, применяемые при расчете нормативных затрат на приобретение планшетных компьютеров.</w:t>
      </w: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107"/>
        <w:gridCol w:w="2268"/>
        <w:gridCol w:w="1843"/>
        <w:gridCol w:w="1701"/>
      </w:tblGrid>
      <w:tr w:rsidR="00F7373D" w:rsidTr="00F7373D">
        <w:trPr>
          <w:trHeight w:val="151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оборудования, средств коммуникации, ед.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максимальная цена,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работников</w:t>
            </w:r>
          </w:p>
        </w:tc>
      </w:tr>
      <w:tr w:rsidR="00F7373D" w:rsidTr="00F7373D">
        <w:trPr>
          <w:trHeight w:val="816"/>
        </w:trPr>
        <w:tc>
          <w:tcPr>
            <w:tcW w:w="9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7373D" w:rsidRDefault="00F73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Периодичность приобретения планшетных компьютеров определяется максимальным сроком полезного использования и составляет не менее 5 лет.          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114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Компьютеры планшетные с диагональю экрана не более 10˝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ед. в расчете на одного работника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rPr>
          <w:b/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компьютерного и периферийного оборудования, средств коммуникации</w:t>
      </w:r>
      <w:r>
        <w:rPr>
          <w:b/>
          <w:noProof/>
          <w:sz w:val="28"/>
          <w:szCs w:val="28"/>
        </w:rPr>
        <w:t>*</w:t>
      </w:r>
    </w:p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013"/>
        <w:gridCol w:w="2152"/>
        <w:gridCol w:w="2336"/>
        <w:gridCol w:w="1418"/>
      </w:tblGrid>
      <w:tr w:rsidR="00F7373D" w:rsidTr="00F7373D">
        <w:trPr>
          <w:trHeight w:val="18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оборудования, средств коммуникации, ед.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максимальная 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работников</w:t>
            </w:r>
          </w:p>
        </w:tc>
      </w:tr>
      <w:tr w:rsidR="00F7373D" w:rsidTr="00F7373D">
        <w:trPr>
          <w:trHeight w:val="37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          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56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станция на основе ноутбука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 (при необходимости)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</w:t>
            </w:r>
          </w:p>
        </w:tc>
      </w:tr>
      <w:tr w:rsidR="00F7373D" w:rsidTr="00F7373D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станция на основе системного блока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комплекта в расчете на одного работника (при необходимости)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</w:t>
            </w:r>
          </w:p>
        </w:tc>
      </w:tr>
      <w:tr w:rsidR="00F7373D" w:rsidTr="00F7373D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с диагональю экрана не менее 21˝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ед. в расчете на одного работника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</w:t>
            </w:r>
          </w:p>
        </w:tc>
      </w:tr>
      <w:tr w:rsidR="00F7373D" w:rsidTr="00F7373D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лазерный с функцией цветной/черно-белой печати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ед. в расчете на трех  работников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</w:t>
            </w:r>
          </w:p>
        </w:tc>
      </w:tr>
      <w:tr w:rsidR="00F7373D" w:rsidTr="00F7373D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струйный с функцией цветной/черно-белой печати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ед. в расчете на администрацию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 ед. в расчете на трех работников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категории и группы </w:t>
            </w:r>
            <w:r>
              <w:rPr>
                <w:sz w:val="28"/>
                <w:szCs w:val="28"/>
              </w:rPr>
              <w:lastRenderedPageBreak/>
              <w:t xml:space="preserve">должностей работников 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 ед. в расчете на один отдел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 и группы должностей работников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overflowPunct w:val="0"/>
        <w:textAlignment w:val="baseline"/>
        <w:rPr>
          <w:sz w:val="28"/>
          <w:szCs w:val="28"/>
        </w:rPr>
      </w:pPr>
    </w:p>
    <w:p w:rsidR="00F7373D" w:rsidRDefault="00F7373D" w:rsidP="00F7373D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носителей информации*</w:t>
      </w:r>
    </w:p>
    <w:p w:rsidR="00F7373D" w:rsidRDefault="00F7373D" w:rsidP="00F73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2976"/>
        <w:gridCol w:w="2835"/>
        <w:gridCol w:w="2268"/>
        <w:gridCol w:w="993"/>
      </w:tblGrid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цена приобретения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эксплуатации в годах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(компакт-диск)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упаковки (не менее 10 штук) в расчете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0,19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Флэш-карта, USB флэш накопитель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расчете на 1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0,6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USB-ключи и смарт-карты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каждого сотрудника, наделенного правом электронной цифровой подписи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Смарт-карта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сотрудника, наделенного правом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250,00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расходных материалов для принтеров, МФУ и копировальных аппаратов*</w:t>
      </w:r>
    </w:p>
    <w:p w:rsidR="00F7373D" w:rsidRDefault="00F7373D" w:rsidP="00F73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3260"/>
        <w:gridCol w:w="3544"/>
        <w:gridCol w:w="2268"/>
      </w:tblGrid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цена приобретения за 1 единицу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индивидуальных принтеров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 шт. на 1 единицу оргтехники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тыс. рублей</w:t>
            </w:r>
          </w:p>
        </w:tc>
      </w:tr>
      <w:tr w:rsidR="00F7373D" w:rsidTr="00F7373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для малых рабочих групп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шт. на 1 единицу оргтехники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тыс. рублей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мебели и отдельных материально-технических средств*</w:t>
      </w: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2436"/>
        <w:gridCol w:w="1319"/>
        <w:gridCol w:w="2344"/>
        <w:gridCol w:w="1855"/>
        <w:gridCol w:w="965"/>
      </w:tblGrid>
      <w:tr w:rsidR="00F7373D" w:rsidTr="00F7373D">
        <w:trPr>
          <w:trHeight w:val="261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Ед.изм.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 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эксплуатации в годах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цена приобретения за 1 штуку, (руб.)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Высшие группы должностей категории «Руководители»</w:t>
            </w:r>
          </w:p>
        </w:tc>
      </w:tr>
      <w:tr w:rsidR="00F7373D" w:rsidTr="00F7373D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металлический (сейф)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1/на 1 кабинет (при необходимости)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приставной (брифинг)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руководителя (кожа)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 категории и группы должностей работников</w:t>
            </w:r>
          </w:p>
        </w:tc>
      </w:tr>
      <w:tr w:rsidR="00F7373D" w:rsidTr="00F7373D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компьютерный одно (двух) тумбовый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приставка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офисный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платяной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штука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комбинированный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сотрудника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на 1 кабинет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Прочая мебель на администрацию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Стол-шкаф кухонный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Стеллаж металлический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деревянный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настенная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Трибуна металлическая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Примечание: 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законодательством.</w:t>
      </w:r>
    </w:p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F7373D" w:rsidRDefault="00F7373D" w:rsidP="00F7373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Нормативы обеспечения функций, применяемые при расчете нормативных затрат на приобретение канцелярских принадлежностей*</w:t>
      </w:r>
    </w:p>
    <w:p w:rsidR="00F7373D" w:rsidRDefault="00F7373D" w:rsidP="00F7373D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190"/>
        <w:gridCol w:w="2060"/>
        <w:gridCol w:w="2251"/>
        <w:gridCol w:w="1418"/>
      </w:tblGrid>
      <w:tr w:rsidR="00F7373D" w:rsidTr="00F7373D">
        <w:trPr>
          <w:trHeight w:val="150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администрацию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цена приобретения (руб.)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Антистеплер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Бланки «Путевой лист»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«Благодарность» и др.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закладка с клеевым слоем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 для заметок не проклеенный цветной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Блокнот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А4, Снегурочка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копировальная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глянцевая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для факса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упаковочная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 А4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 блок для записей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Дырокол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Ежедневник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>
                <w:rPr>
                  <w:sz w:val="28"/>
                  <w:szCs w:val="28"/>
                </w:rPr>
                <w:t>51 мм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>
                <w:rPr>
                  <w:sz w:val="28"/>
                  <w:szCs w:val="28"/>
                </w:rPr>
                <w:t>19 мм</w:t>
              </w:r>
            </w:smartTag>
            <w:r>
              <w:rPr>
                <w:sz w:val="28"/>
                <w:szCs w:val="28"/>
              </w:rPr>
              <w:t xml:space="preserve">; 10 шт. в упаковке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Зажимы для бумаг,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sz w:val="28"/>
                  <w:szCs w:val="28"/>
                </w:rPr>
                <w:t>25 мм</w:t>
              </w:r>
            </w:smartTag>
            <w:r>
              <w:rPr>
                <w:sz w:val="28"/>
                <w:szCs w:val="28"/>
              </w:rPr>
              <w:t xml:space="preserve">; 10 шт. в упаковке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18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 самоклеющиеся, пластиковые для работы с документами и журналами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Закладки клейкие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Игла для подшивки документов «Цыганская»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Калькулятор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Канцелярский набор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простой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карандаш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Конверты без марок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Конверты  с окном евро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Корректирующая жидкость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Корректирующая лента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штемпельная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Ластик виниловый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 для бумаги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 (текстовыделитель)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Нить для подшивки документов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Накопитель архивный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 канцелярские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Нож канцелярский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Обложки для тетрадей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Обложка для журналов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Органайзер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 пружинным скоросшивателем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151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Папка-уголок (А4), материал: полупрозрачный полипропилен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на кольцах (формат А4)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 файлами (40 вкладышей)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 файлами (60 вкладышей)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F7373D" w:rsidTr="00F7373D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Папка-конверт пластиковая на кнопках (формат А4)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картонная с завязками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картонная без скоросшивателя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картонная со скоросшивателем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шариковая (синяя, черная, красная)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чистящие предназначены для удаления пыли с офисной техники, в тубе не менее 100 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упаковка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Скрепки канцелярские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sz w:val="28"/>
                  <w:szCs w:val="28"/>
                </w:rPr>
                <w:t>28 мм</w:t>
              </w:r>
            </w:smartTag>
            <w:r>
              <w:rPr>
                <w:sz w:val="28"/>
                <w:szCs w:val="28"/>
              </w:rPr>
              <w:t>, 100 штук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373D" w:rsidTr="00F7373D">
        <w:trPr>
          <w:trHeight w:val="18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Скрепки канцелярские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sz w:val="28"/>
                  <w:szCs w:val="28"/>
                </w:rPr>
                <w:t>50 мм</w:t>
              </w:r>
            </w:smartTag>
            <w:r>
              <w:rPr>
                <w:sz w:val="28"/>
                <w:szCs w:val="28"/>
              </w:rPr>
              <w:t>, 100 штук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№ 24/6, 1000 шт.в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№ 10, 1000 шт. в пачке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Скотч широкий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Скотч узкий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Степлер, вид используемых скоб: №24/6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Степлер, вид используемых скоб: № 10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7373D" w:rsidTr="00F7373D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Стержень для ручки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73D" w:rsidTr="00F7373D">
        <w:trPr>
          <w:trHeight w:val="114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>
                <w:rPr>
                  <w:sz w:val="28"/>
                  <w:szCs w:val="28"/>
                </w:rPr>
                <w:t>12 л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Тетрадь  </w:t>
            </w:r>
            <w:smartTag w:uri="urn:schemas-microsoft-com:office:smarttags" w:element="metricconverter">
              <w:smartTagPr>
                <w:attr w:name="ProductID" w:val="48 л"/>
              </w:smartTagPr>
              <w:r>
                <w:rPr>
                  <w:sz w:val="28"/>
                  <w:szCs w:val="28"/>
                </w:rPr>
                <w:t>48 л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Точилка для карандаша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Файлы 100 шт.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Фломастеры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упаковка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7373D" w:rsidTr="00F7373D">
        <w:trPr>
          <w:trHeight w:val="39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Штамп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overflowPunct w:val="0"/>
        <w:ind w:firstLine="567"/>
        <w:textAlignment w:val="baseline"/>
        <w:rPr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Нормативы обеспечения функций, применяемые при расчете нормативных затрат на приобретение хозяйственных товаров и принадлежностей *</w:t>
      </w:r>
    </w:p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211"/>
        <w:gridCol w:w="2100"/>
        <w:gridCol w:w="2602"/>
        <w:gridCol w:w="1006"/>
      </w:tblGrid>
      <w:tr w:rsidR="00F7373D" w:rsidTr="00F7373D">
        <w:trPr>
          <w:trHeight w:val="7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приобретения (руб. за ед.)</w:t>
            </w:r>
          </w:p>
        </w:tc>
        <w:tc>
          <w:tcPr>
            <w:tcW w:w="1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 год, шт.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Белизна, 1л.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туалетная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салфетки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Губки бытовые для мытья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Кисть малярная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Лента сигнальная оградительная, </w:t>
            </w:r>
            <w:smartTag w:uri="urn:schemas-microsoft-com:office:smarttags" w:element="metricconverter">
              <w:smartTagPr>
                <w:attr w:name="ProductID" w:val="250 м"/>
              </w:smartTagPr>
              <w:r>
                <w:rPr>
                  <w:sz w:val="28"/>
                  <w:szCs w:val="28"/>
                </w:rPr>
                <w:t>250 м</w:t>
              </w:r>
            </w:smartTag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 столовая одноразовая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для снега «Движок»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для удаления пыли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Мыло-крем жидкое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туалетное кусковое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мусора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«Майка»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хозяйственные латексные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хлопчато-бумажные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Плоскогубцы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Поднос универсальный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373D" w:rsidTr="00F7373D">
        <w:trPr>
          <w:trHeight w:val="25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под флаг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геодезическая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для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Скатерть одноразовая,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8"/>
                  <w:szCs w:val="28"/>
                </w:rPr>
                <w:t>15 м</w:t>
              </w:r>
            </w:smartTag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 одноразовый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Секатор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щетка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для мытья пола, хлопок 80х100 мм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Фум - лента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Швабра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Электрический кипятильник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Тарелки одноразовые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F7373D" w:rsidRDefault="00F7373D" w:rsidP="00F7373D">
      <w:pPr>
        <w:tabs>
          <w:tab w:val="left" w:pos="709"/>
        </w:tabs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Нормативы обеспечения функций, применяемые при расчете нормативных затрат на приобретение материальных запасов для нужд гражданской обороны *</w:t>
      </w:r>
    </w:p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199"/>
        <w:gridCol w:w="2130"/>
        <w:gridCol w:w="2679"/>
        <w:gridCol w:w="911"/>
      </w:tblGrid>
      <w:tr w:rsidR="00F7373D" w:rsidTr="00F7373D">
        <w:trPr>
          <w:trHeight w:val="112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1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эксплуатации в годах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приобретения в рублях </w:t>
            </w:r>
          </w:p>
        </w:tc>
      </w:tr>
      <w:tr w:rsidR="00F7373D" w:rsidTr="00F7373D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Аптечка индивидуальная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медицинской индивидуальной защиты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администрацию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противохимический пакет типа ИПП-8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7373D" w:rsidTr="00F7373D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фильтрующий гражданский типа ГП-7 и его модификации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7373D" w:rsidTr="00F7373D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патрон к противогазу фильтрующему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F7373D" w:rsidTr="00F7373D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Огнетушитель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на администрацию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F7373D" w:rsidTr="00F7373D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>*</w:t>
      </w:r>
      <w:r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Площади помещений для размещения одного работника, установленные в соответствии с требованиями СанПин</w:t>
      </w:r>
    </w:p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1051"/>
        <w:gridCol w:w="5733"/>
        <w:gridCol w:w="2729"/>
      </w:tblGrid>
      <w:tr w:rsidR="00F7373D" w:rsidTr="00F7373D">
        <w:trPr>
          <w:trHeight w:val="1125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м².</w:t>
            </w:r>
          </w:p>
        </w:tc>
      </w:tr>
      <w:tr w:rsidR="00F7373D" w:rsidTr="00F7373D">
        <w:trPr>
          <w:trHeight w:val="375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373D" w:rsidTr="00F7373D">
        <w:trPr>
          <w:trHeight w:val="75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помещений в соответствии с нормами </w:t>
            </w:r>
            <w:r>
              <w:rPr>
                <w:rStyle w:val="a4"/>
                <w:b w:val="0"/>
                <w:bCs/>
                <w:sz w:val="28"/>
                <w:szCs w:val="28"/>
                <w:shd w:val="clear" w:color="auto" w:fill="FFFFFF"/>
              </w:rPr>
              <w:t>СанПиН 2.2.2/2.4.1340-03</w:t>
            </w:r>
            <w:r>
              <w:rPr>
                <w:sz w:val="28"/>
                <w:szCs w:val="28"/>
                <w:shd w:val="clear" w:color="auto" w:fill="FFFFFF"/>
              </w:rPr>
              <w:t xml:space="preserve"> «Гигиенические требования к персональным электронно-вычислительным машинам и организации работы»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 на каждого работника</w:t>
            </w:r>
          </w:p>
        </w:tc>
      </w:tr>
    </w:tbl>
    <w:p w:rsidR="00F7373D" w:rsidRDefault="00F7373D" w:rsidP="00F7373D">
      <w:pPr>
        <w:overflowPunct w:val="0"/>
        <w:jc w:val="center"/>
        <w:textAlignment w:val="baseline"/>
        <w:rPr>
          <w:b/>
          <w:sz w:val="28"/>
          <w:szCs w:val="28"/>
        </w:rPr>
      </w:pPr>
    </w:p>
    <w:p w:rsidR="00F7373D" w:rsidRDefault="00F7373D" w:rsidP="00F7373D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периодических печатных изданий и справочной литературы*</w:t>
      </w:r>
    </w:p>
    <w:p w:rsidR="00F7373D" w:rsidRDefault="00F7373D" w:rsidP="00F7373D">
      <w:pPr>
        <w:overflowPunct w:val="0"/>
        <w:textAlignment w:val="baseline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2552"/>
        <w:gridCol w:w="2835"/>
      </w:tblGrid>
      <w:tr w:rsidR="00F7373D" w:rsidTr="00F7373D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выходов 1 комплекта за 12 мес.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расходов  </w:t>
            </w:r>
          </w:p>
        </w:tc>
      </w:tr>
      <w:tr w:rsidR="00F7373D" w:rsidTr="00F7373D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Газета «Пульс дня»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тарифам ФГУП «Почта России» согласно п. 1 ч. 1 ст. 93 Федерального закона № 44-ФЗ  </w:t>
            </w:r>
          </w:p>
        </w:tc>
      </w:tr>
      <w:tr w:rsidR="00F7373D" w:rsidTr="00F7373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«Южный 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</w:p>
        </w:tc>
      </w:tr>
      <w:tr w:rsidR="00F7373D" w:rsidTr="00F7373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3D" w:rsidRDefault="00F7373D">
            <w:pPr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«Оренбуржье»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3D" w:rsidRDefault="00F7373D">
            <w:pPr>
              <w:rPr>
                <w:sz w:val="28"/>
                <w:szCs w:val="28"/>
              </w:rPr>
            </w:pPr>
          </w:p>
        </w:tc>
      </w:tr>
    </w:tbl>
    <w:p w:rsidR="00F7373D" w:rsidRDefault="00F7373D" w:rsidP="00F737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7373D" w:rsidRDefault="00F7373D" w:rsidP="00F7373D">
      <w:pPr>
        <w:rPr>
          <w:sz w:val="28"/>
          <w:szCs w:val="28"/>
        </w:rPr>
      </w:pPr>
    </w:p>
    <w:p w:rsidR="00983546" w:rsidRDefault="00983546"/>
    <w:sectPr w:rsidR="009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D"/>
    <w:rsid w:val="004D2304"/>
    <w:rsid w:val="00983546"/>
    <w:rsid w:val="00B42B21"/>
    <w:rsid w:val="00F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6376-97D6-458A-8928-427D9EAA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3D"/>
    <w:rPr>
      <w:sz w:val="24"/>
      <w:szCs w:val="24"/>
    </w:rPr>
  </w:style>
  <w:style w:type="paragraph" w:styleId="1">
    <w:name w:val="heading 1"/>
    <w:basedOn w:val="a"/>
    <w:link w:val="10"/>
    <w:qFormat/>
    <w:rsid w:val="00F737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F7373D"/>
    <w:rPr>
      <w:b/>
      <w:bCs/>
      <w:kern w:val="36"/>
      <w:sz w:val="48"/>
      <w:szCs w:val="48"/>
      <w:lang w:val="ru-RU" w:eastAsia="ru-RU" w:bidi="ar-SA"/>
    </w:rPr>
  </w:style>
  <w:style w:type="paragraph" w:customStyle="1" w:styleId="ConsPlusTitle">
    <w:name w:val="ConsPlusTitle"/>
    <w:rsid w:val="00F7373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rsid w:val="00F7373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3">
    <w:name w:val="Hyperlink"/>
    <w:basedOn w:val="a0"/>
    <w:rsid w:val="00F7373D"/>
    <w:rPr>
      <w:color w:val="0000FF"/>
      <w:u w:val="single"/>
    </w:rPr>
  </w:style>
  <w:style w:type="character" w:styleId="a4">
    <w:name w:val="Strong"/>
    <w:basedOn w:val="a0"/>
    <w:qFormat/>
    <w:rsid w:val="00F7373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76;&#1077;&#1078;&#1076;&#1072;\AppData\&#1056;&#1072;&#1089;&#1087;&#1086;&#1088;&#1103;&#1078;&#1077;&#1085;&#1080;&#1103;\&#1056;&#1072;&#1089;&#1087;&#1086;&#1088;&#1103;&#1078;&#1077;&#1085;&#1080;&#1077;%202017%20&#1075;&#1086;&#1076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846F7E44A581AE36E508D7FB000A996F73C7C2C66165FE084FB482A41F1449D6768C5C8F376B327065D0A5S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76;&#1077;&#1078;&#1076;&#1072;\AppData\&#1056;&#1072;&#1089;&#1087;&#1086;&#1088;&#1103;&#1078;&#1077;&#1085;&#1080;&#1103;\&#1056;&#1072;&#1089;&#1087;&#1086;&#1088;&#1103;&#1078;&#1077;&#1085;&#1080;&#1077;%202017%20&#1075;&#1086;&#1076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3;&#1072;&#1076;&#1077;&#1078;&#1076;&#1072;\AppData\&#1056;&#1072;&#1089;&#1087;&#1086;&#1088;&#1103;&#1078;&#1077;&#1085;&#1080;&#1103;\&#1056;&#1072;&#1089;&#1087;&#1086;&#1088;&#1103;&#1078;&#1077;&#1085;&#1080;&#1077;%202017%20&#1075;&#1086;&#1076;.doc" TargetMode="External"/><Relationship Id="rId10" Type="http://schemas.openxmlformats.org/officeDocument/2006/relationships/hyperlink" Target="file:///C:\Users\&#1053;&#1072;&#1076;&#1077;&#1078;&#1076;&#1072;\AppData\&#1056;&#1072;&#1089;&#1087;&#1086;&#1088;&#1103;&#1078;&#1077;&#1085;&#1080;&#1103;\&#1056;&#1072;&#1089;&#1087;&#1086;&#1088;&#1103;&#1078;&#1077;&#1085;&#1080;&#1077;%202017%20&#1075;&#1086;&#1076;.doc" TargetMode="External"/><Relationship Id="rId4" Type="http://schemas.openxmlformats.org/officeDocument/2006/relationships/hyperlink" Target="consultantplus://offline/ref=D0FAEFF8279DC4DE6BC16CDABD02255BF19A11E13DE30C6E27006AE39C12A16D5F5586CD06wAI" TargetMode="External"/><Relationship Id="rId9" Type="http://schemas.openxmlformats.org/officeDocument/2006/relationships/hyperlink" Target="file:///C:\Users\&#1053;&#1072;&#1076;&#1077;&#1078;&#1076;&#1072;\AppData\&#1056;&#1072;&#1089;&#1087;&#1086;&#1088;&#1103;&#1078;&#1077;&#1085;&#1080;&#1103;\&#1056;&#1072;&#1089;&#1087;&#1086;&#1088;&#1103;&#1078;&#1077;&#1085;&#1080;&#1077;%202017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Links>
    <vt:vector size="42" baseType="variant">
      <vt:variant>
        <vt:i4>2950169</vt:i4>
      </vt:variant>
      <vt:variant>
        <vt:i4>18</vt:i4>
      </vt:variant>
      <vt:variant>
        <vt:i4>0</vt:i4>
      </vt:variant>
      <vt:variant>
        <vt:i4>5</vt:i4>
      </vt:variant>
      <vt:variant>
        <vt:lpwstr>../../Распоряжения/Распоряжение 2017 год.doc</vt:lpwstr>
      </vt:variant>
      <vt:variant>
        <vt:lpwstr>Par909#Par909</vt:lpwstr>
      </vt:variant>
      <vt:variant>
        <vt:i4>2884633</vt:i4>
      </vt:variant>
      <vt:variant>
        <vt:i4>15</vt:i4>
      </vt:variant>
      <vt:variant>
        <vt:i4>0</vt:i4>
      </vt:variant>
      <vt:variant>
        <vt:i4>5</vt:i4>
      </vt:variant>
      <vt:variant>
        <vt:lpwstr>../../Распоряжения/Распоряжение 2017 год.doc</vt:lpwstr>
      </vt:variant>
      <vt:variant>
        <vt:lpwstr>Par908#Par908</vt:lpwstr>
      </vt:variant>
      <vt:variant>
        <vt:i4>2884633</vt:i4>
      </vt:variant>
      <vt:variant>
        <vt:i4>12</vt:i4>
      </vt:variant>
      <vt:variant>
        <vt:i4>0</vt:i4>
      </vt:variant>
      <vt:variant>
        <vt:i4>5</vt:i4>
      </vt:variant>
      <vt:variant>
        <vt:lpwstr>../../Распоряжения/Распоряжение 2017 год.doc</vt:lpwstr>
      </vt:variant>
      <vt:variant>
        <vt:lpwstr>Par908#Par908</vt:lpwstr>
      </vt:variant>
      <vt:variant>
        <vt:i4>5570561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consultantplus://offline/ref=9A846F7E44A581AE36E508D7FB000A996F73C7C2C66165FE084FB482A41F1449D6768C5C8F376B327065D0A5SDH</vt:lpwstr>
      </vt:variant>
      <vt:variant>
        <vt:lpwstr/>
      </vt:variant>
      <vt:variant>
        <vt:i4>2884633</vt:i4>
      </vt:variant>
      <vt:variant>
        <vt:i4>6</vt:i4>
      </vt:variant>
      <vt:variant>
        <vt:i4>0</vt:i4>
      </vt:variant>
      <vt:variant>
        <vt:i4>5</vt:i4>
      </vt:variant>
      <vt:variant>
        <vt:lpwstr>../../Распоряжения/Распоряжение 2017 год.doc</vt:lpwstr>
      </vt:variant>
      <vt:variant>
        <vt:lpwstr>Par908#Par908</vt:lpwstr>
      </vt:variant>
      <vt:variant>
        <vt:i4>2294809</vt:i4>
      </vt:variant>
      <vt:variant>
        <vt:i4>3</vt:i4>
      </vt:variant>
      <vt:variant>
        <vt:i4>0</vt:i4>
      </vt:variant>
      <vt:variant>
        <vt:i4>5</vt:i4>
      </vt:variant>
      <vt:variant>
        <vt:lpwstr>../../Распоряжения/Распоряжение 2017 год.doc</vt:lpwstr>
      </vt:variant>
      <vt:variant>
        <vt:lpwstr>Par907#Par907</vt:lpwstr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consultantplus://offline/ref=D0FAEFF8279DC4DE6BC16CDABD02255BF19A11E13DE30C6E27006AE39C12A16D5F5586CD06wAI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2017-05-14T20:14:00Z</dcterms:created>
  <dcterms:modified xsi:type="dcterms:W3CDTF">2017-05-14T20:14:00Z</dcterms:modified>
</cp:coreProperties>
</file>