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192767" w:rsidRDefault="00192767" w:rsidP="00192767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DB4DDF">
        <w:t>а</w:t>
      </w:r>
      <w:r w:rsidR="005B304C">
        <w:t>ктера</w:t>
      </w:r>
      <w:r w:rsidR="005B304C">
        <w:br/>
        <w:t>за период с 1 января 2018 года по 31 декабря 2018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000"/>
        <w:gridCol w:w="1440"/>
        <w:gridCol w:w="900"/>
        <w:gridCol w:w="1080"/>
        <w:gridCol w:w="900"/>
        <w:gridCol w:w="720"/>
        <w:gridCol w:w="1072"/>
        <w:gridCol w:w="1384"/>
        <w:gridCol w:w="1684"/>
      </w:tblGrid>
      <w:tr w:rsidR="00192767" w:rsidTr="00DB4DDF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92767" w:rsidTr="00DB4DDF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92767" w:rsidTr="00DB4DDF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r>
              <w:t>ФИО</w:t>
            </w:r>
          </w:p>
          <w:p w:rsidR="00192767" w:rsidRDefault="00192767" w:rsidP="00192767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Андрейчева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Н.И.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Заведующая </w:t>
            </w:r>
            <w:proofErr w:type="spellStart"/>
            <w:r>
              <w:rPr>
                <w:rFonts w:eastAsia="Calibri"/>
              </w:rPr>
              <w:t>Надеждинским</w:t>
            </w:r>
            <w:proofErr w:type="spellEnd"/>
            <w:r>
              <w:rPr>
                <w:rFonts w:eastAsia="Calibri"/>
              </w:rPr>
              <w:t xml:space="preserve"> ФАП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3122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7B45E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421 895,27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9546F0" w:rsidTr="00DB4DDF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</w:tr>
      <w:tr w:rsidR="00192767" w:rsidTr="00DB4DDF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DB4DD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DB4DDF">
              <w:rPr>
                <w:rFonts w:eastAsia="Calibri"/>
              </w:rPr>
              <w:t xml:space="preserve">Общая </w:t>
            </w:r>
            <w:r w:rsidR="009546F0">
              <w:rPr>
                <w:rFonts w:eastAsia="Calibri"/>
              </w:rPr>
              <w:t>долевая</w:t>
            </w:r>
            <w:r w:rsidR="00DB4DDF">
              <w:rPr>
                <w:rFonts w:eastAsia="Calibri"/>
              </w:rPr>
              <w:t xml:space="preserve">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42 765733,00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DB4DDF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r>
              <w:t xml:space="preserve">Супруг </w:t>
            </w:r>
          </w:p>
          <w:p w:rsidR="009546F0" w:rsidRPr="009546F0" w:rsidRDefault="009546F0" w:rsidP="00192767">
            <w:pPr>
              <w:rPr>
                <w:rFonts w:eastAsia="Calibri"/>
              </w:rPr>
            </w:pPr>
            <w:proofErr w:type="spellStart"/>
            <w:r>
              <w:t>Андрейчев</w:t>
            </w:r>
            <w:proofErr w:type="spellEnd"/>
            <w:r>
              <w:t xml:space="preserve"> В.И.</w:t>
            </w:r>
          </w:p>
          <w:p w:rsidR="00192767" w:rsidRDefault="00192767" w:rsidP="00192767"/>
          <w:p w:rsidR="00DB4DDF" w:rsidRDefault="00DB4DDF" w:rsidP="00192767"/>
          <w:p w:rsidR="00DB4DDF" w:rsidRDefault="00DB4DDF" w:rsidP="00192767"/>
          <w:p w:rsidR="00DB4DDF" w:rsidRDefault="00DB4DDF" w:rsidP="00192767"/>
          <w:p w:rsidR="00192767" w:rsidRDefault="00192767" w:rsidP="00192767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механизатор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9546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</w:t>
            </w:r>
            <w:r w:rsidR="009546F0">
              <w:rPr>
                <w:rFonts w:eastAsia="Calibri"/>
              </w:rPr>
              <w:t>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42 765733,00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Ваз 21099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7B45E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225 890,14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192767" w:rsidTr="00DB4DDF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3 122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DB4DDF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B4FC2" w:rsidRDefault="00192767" w:rsidP="00DB4FC2">
      <w:pPr>
        <w:rPr>
          <w:rFonts w:eastAsia="Calibri"/>
        </w:rPr>
      </w:pPr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</w:t>
      </w:r>
      <w:r>
        <w:lastRenderedPageBreak/>
        <w:t xml:space="preserve">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 сделки.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rFonts w:eastAsia="Calibri"/>
        </w:rPr>
        <w:br w:type="page"/>
      </w:r>
      <w:r>
        <w:rPr>
          <w:b w:val="0"/>
          <w:sz w:val="24"/>
          <w:szCs w:val="24"/>
        </w:rPr>
        <w:lastRenderedPageBreak/>
        <w:t>Приложение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DB4FC2" w:rsidRDefault="00DB4FC2" w:rsidP="00DB4FC2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2018 года по 31 декабря 2018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080"/>
        <w:gridCol w:w="900"/>
        <w:gridCol w:w="1080"/>
        <w:gridCol w:w="900"/>
        <w:gridCol w:w="900"/>
        <w:gridCol w:w="1072"/>
        <w:gridCol w:w="1384"/>
        <w:gridCol w:w="1684"/>
      </w:tblGrid>
      <w:tr w:rsidR="00DB4FC2" w:rsidTr="00A70180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B4FC2" w:rsidTr="00A7018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B4FC2" w:rsidTr="00A70180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r>
              <w:t>ФИО</w:t>
            </w:r>
          </w:p>
          <w:p w:rsidR="00DB4FC2" w:rsidRDefault="00DB4FC2" w:rsidP="00A70180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Дугушина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А.Ф.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пенсионерка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60,10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ГАЗ 2705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176 578,08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2 100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r>
              <w:t>Супруг (а)</w:t>
            </w:r>
          </w:p>
          <w:p w:rsidR="00DB4FC2" w:rsidRPr="009546F0" w:rsidRDefault="00DB4FC2" w:rsidP="00A70180">
            <w:pPr>
              <w:rPr>
                <w:rFonts w:eastAsia="Calibri"/>
              </w:rPr>
            </w:pPr>
            <w:r>
              <w:t xml:space="preserve"> </w:t>
            </w:r>
          </w:p>
          <w:p w:rsidR="00DB4FC2" w:rsidRDefault="00DB4FC2" w:rsidP="00A70180"/>
          <w:p w:rsidR="00DB4FC2" w:rsidRDefault="00DB4FC2" w:rsidP="00A70180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B4FC2" w:rsidRDefault="00DB4FC2" w:rsidP="00DB4FC2"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rFonts w:eastAsia="Calibri"/>
        </w:rPr>
        <w:br w:type="page"/>
      </w:r>
      <w:r>
        <w:rPr>
          <w:b w:val="0"/>
          <w:sz w:val="24"/>
          <w:szCs w:val="24"/>
        </w:rPr>
        <w:lastRenderedPageBreak/>
        <w:t>Приложение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DB4FC2" w:rsidRDefault="00DB4FC2" w:rsidP="00DB4FC2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2018 года по 31 декабря 2018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DB4FC2" w:rsidTr="00A70180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B4FC2" w:rsidTr="00A7018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B4FC2" w:rsidTr="00A70180">
        <w:trPr>
          <w:trHeight w:val="129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r>
              <w:t>ФИО</w:t>
            </w: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Перегудов М.Н.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 предприниматель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2 800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УАЗ 2206; Волга 3110;</w:t>
            </w:r>
          </w:p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Мицубиси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-200;</w:t>
            </w:r>
          </w:p>
          <w:p w:rsidR="00DB4FC2" w:rsidRPr="00C57F21" w:rsidRDefault="00DB4FC2" w:rsidP="00A70180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53212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90 000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1186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r>
              <w:t>Супруг (а)</w:t>
            </w:r>
          </w:p>
          <w:p w:rsidR="00DB4FC2" w:rsidRPr="009546F0" w:rsidRDefault="00DB4FC2" w:rsidP="00A70180">
            <w:pPr>
              <w:rPr>
                <w:rFonts w:eastAsia="Calibri"/>
              </w:rPr>
            </w:pPr>
            <w:proofErr w:type="spellStart"/>
            <w:r>
              <w:t>Перегудова</w:t>
            </w:r>
            <w:proofErr w:type="spellEnd"/>
            <w:r>
              <w:t xml:space="preserve"> Н.Ф.</w:t>
            </w:r>
          </w:p>
          <w:p w:rsidR="00DB4FC2" w:rsidRDefault="00DB4FC2" w:rsidP="00A70180"/>
          <w:p w:rsidR="00DB4FC2" w:rsidRDefault="00DB4FC2" w:rsidP="00A70180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МОБУ </w:t>
            </w:r>
            <w:proofErr w:type="spellStart"/>
            <w:r>
              <w:rPr>
                <w:rFonts w:eastAsia="Calibri"/>
              </w:rPr>
              <w:t>Надеждинской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2 800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260 000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42865733,00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B4FC2" w:rsidRDefault="00DB4FC2" w:rsidP="00DB4FC2">
      <w:pPr>
        <w:rPr>
          <w:rFonts w:eastAsia="Calibri"/>
        </w:rPr>
        <w:sectPr w:rsidR="00DB4FC2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 сделки.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DB4FC2" w:rsidRDefault="00DB4FC2" w:rsidP="00DB4FC2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2018 года по 31 декабря 2018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DB4FC2" w:rsidTr="00A70180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B4FC2" w:rsidTr="00A7018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B4FC2" w:rsidTr="00A70180">
        <w:trPr>
          <w:trHeight w:val="129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r>
              <w:t>ФИО</w:t>
            </w:r>
          </w:p>
          <w:p w:rsidR="00DB4FC2" w:rsidRDefault="00DB4FC2" w:rsidP="00A70180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Сыса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С.А.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Моторист ДЭС ГПО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Pr="00DC7D6D" w:rsidRDefault="00DB4FC2" w:rsidP="00A70180">
            <w:pPr>
              <w:rPr>
                <w:rFonts w:eastAsia="Calibri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CHERY S 180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indis</w:t>
            </w:r>
            <w:proofErr w:type="spellEnd"/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трактор</w:t>
            </w:r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ЮМЗ</w:t>
            </w:r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737 640, 47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758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2415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/>
          <w:p w:rsidR="00DB4FC2" w:rsidRDefault="00DB4FC2" w:rsidP="00A70180">
            <w:r>
              <w:t>Супруг (а)</w:t>
            </w:r>
          </w:p>
          <w:p w:rsidR="00DB4FC2" w:rsidRDefault="00DB4FC2" w:rsidP="00A70180">
            <w:proofErr w:type="spellStart"/>
            <w:r>
              <w:t>Сыса</w:t>
            </w:r>
            <w:proofErr w:type="spellEnd"/>
            <w:r>
              <w:t xml:space="preserve"> О.В.</w:t>
            </w:r>
          </w:p>
          <w:p w:rsidR="00DB4FC2" w:rsidRDefault="00DB4FC2" w:rsidP="00A70180"/>
          <w:p w:rsidR="00DB4FC2" w:rsidRDefault="00DB4FC2" w:rsidP="00A70180">
            <w:r>
              <w:t>Несовершеннолетний ребенок:</w:t>
            </w:r>
          </w:p>
          <w:p w:rsidR="00DB4FC2" w:rsidRDefault="00DB4FC2" w:rsidP="00A70180">
            <w:proofErr w:type="spellStart"/>
            <w:r>
              <w:t>Сыса</w:t>
            </w:r>
            <w:proofErr w:type="spellEnd"/>
            <w:r>
              <w:t xml:space="preserve"> А.С.</w:t>
            </w:r>
          </w:p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>
            <w:r>
              <w:t>Несовершеннолетний ребенок:</w:t>
            </w:r>
          </w:p>
          <w:p w:rsidR="00DB4FC2" w:rsidRDefault="00DB4FC2" w:rsidP="00A70180">
            <w:proofErr w:type="spellStart"/>
            <w:r>
              <w:t>Сыса</w:t>
            </w:r>
            <w:proofErr w:type="spellEnd"/>
            <w:r>
              <w:t xml:space="preserve"> К.С.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Домохозяйка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Ученица 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Воспитанница дошкольный группы МОБУ </w:t>
            </w:r>
            <w:proofErr w:type="spellStart"/>
            <w:r>
              <w:rPr>
                <w:rFonts w:eastAsia="Calibri"/>
              </w:rPr>
              <w:t>Надеждинская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Жилой дом (дача)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96,00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2415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96,00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2415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B4FC2" w:rsidRDefault="00DB4FC2" w:rsidP="00DB4FC2">
      <w:r>
        <w:rPr>
          <w:rFonts w:eastAsia="Calibri"/>
        </w:rPr>
        <w:lastRenderedPageBreak/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и его супруги (супруга) за три последних года, предшествующих совершению</w:t>
      </w:r>
    </w:p>
    <w:p w:rsidR="00DB4FC2" w:rsidRDefault="00DB4FC2" w:rsidP="00DB4FC2"/>
    <w:p w:rsidR="00DB4FC2" w:rsidRDefault="00DB4FC2" w:rsidP="00DB4FC2"/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br w:type="page"/>
      </w:r>
      <w:r>
        <w:rPr>
          <w:b w:val="0"/>
          <w:sz w:val="24"/>
          <w:szCs w:val="24"/>
        </w:rPr>
        <w:lastRenderedPageBreak/>
        <w:t>Приложение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DB4FC2" w:rsidRDefault="00DB4FC2" w:rsidP="00DB4FC2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2018 года по 31 декабря 2018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1820"/>
        <w:gridCol w:w="1260"/>
        <w:gridCol w:w="900"/>
        <w:gridCol w:w="1260"/>
        <w:gridCol w:w="900"/>
        <w:gridCol w:w="900"/>
        <w:gridCol w:w="1072"/>
        <w:gridCol w:w="1384"/>
        <w:gridCol w:w="1684"/>
      </w:tblGrid>
      <w:tr w:rsidR="00DB4FC2" w:rsidTr="00A70180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B4FC2" w:rsidTr="00A7018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B4FC2" w:rsidTr="00A70180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r>
              <w:t>ФИО</w:t>
            </w: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Тимко Н.В.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  <w:proofErr w:type="spellStart"/>
            <w:r>
              <w:rPr>
                <w:rFonts w:eastAsia="Calibri"/>
              </w:rPr>
              <w:t>Надеждинской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3 873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317 472,17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/>
          <w:p w:rsidR="00DB4FC2" w:rsidRDefault="00DB4FC2" w:rsidP="00A70180">
            <w:r>
              <w:t xml:space="preserve">Супруг </w:t>
            </w:r>
          </w:p>
          <w:p w:rsidR="00DB4FC2" w:rsidRDefault="00DB4FC2" w:rsidP="00A70180">
            <w:r>
              <w:t>Тимко В.С.</w:t>
            </w:r>
          </w:p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>
            <w:r>
              <w:t>Несовершеннолетний ребенок:</w:t>
            </w:r>
          </w:p>
          <w:p w:rsidR="00DB4FC2" w:rsidRDefault="00DB4FC2" w:rsidP="00A70180">
            <w:pPr>
              <w:rPr>
                <w:rFonts w:eastAsia="Calibri"/>
              </w:rPr>
            </w:pPr>
            <w:r>
              <w:t>Тимко Е.В.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Оператор котельной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Ученик 9 класса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42865733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КАМАЗ 55102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137 002,32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2 664,24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3 873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3 873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373"/>
          <w:tblCellSpacing w:w="0" w:type="dxa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B4FC2" w:rsidRDefault="00DB4FC2" w:rsidP="00DB4FC2">
      <w:r>
        <w:rPr>
          <w:rFonts w:eastAsia="Calibri"/>
        </w:rPr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br w:type="page"/>
      </w:r>
      <w:r>
        <w:rPr>
          <w:b w:val="0"/>
          <w:sz w:val="24"/>
          <w:szCs w:val="24"/>
        </w:rPr>
        <w:lastRenderedPageBreak/>
        <w:t>Приложение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DB4FC2" w:rsidRDefault="00DB4FC2" w:rsidP="00DB4FC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DB4FC2" w:rsidRDefault="00DB4FC2" w:rsidP="00DB4FC2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2018 года по 31 декабря 2018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628"/>
        <w:gridCol w:w="1440"/>
      </w:tblGrid>
      <w:tr w:rsidR="00DB4FC2" w:rsidTr="00A70180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B4FC2" w:rsidTr="00A7018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B4FC2" w:rsidTr="00A70180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r>
              <w:t>ФИО</w:t>
            </w: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Хакимова С.Я.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ВоспитательНадеждинского</w:t>
            </w:r>
            <w:proofErr w:type="spellEnd"/>
            <w:r>
              <w:rPr>
                <w:rFonts w:eastAsia="Calibri"/>
              </w:rPr>
              <w:t xml:space="preserve"> детского сада «Колобок»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259 653, 22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758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1 042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/>
          <w:p w:rsidR="00DB4FC2" w:rsidRDefault="00DB4FC2" w:rsidP="00A70180">
            <w:r>
              <w:t xml:space="preserve">Супруг </w:t>
            </w:r>
          </w:p>
          <w:p w:rsidR="00DB4FC2" w:rsidRDefault="00DB4FC2" w:rsidP="00A70180">
            <w:r>
              <w:t>Хакимов Р.Ф.</w:t>
            </w:r>
          </w:p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/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42865733,0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Лада </w:t>
            </w:r>
            <w:proofErr w:type="spellStart"/>
            <w:r>
              <w:rPr>
                <w:rFonts w:eastAsia="Calibri"/>
              </w:rPr>
              <w:t>Триора</w:t>
            </w:r>
            <w:proofErr w:type="spellEnd"/>
            <w:r>
              <w:rPr>
                <w:rFonts w:eastAsia="Calibri"/>
              </w:rPr>
              <w:t xml:space="preserve"> 2009; УАЗ 1980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300 596,03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1 042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56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373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r>
              <w:t>Несовершеннолетний ребенок:</w:t>
            </w:r>
          </w:p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t>Хакимова А.Р.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 xml:space="preserve"> Студенка ОГИИ </w:t>
            </w:r>
            <w:proofErr w:type="spellStart"/>
            <w:r>
              <w:rPr>
                <w:rFonts w:eastAsia="Calibri"/>
              </w:rPr>
              <w:t>им.Растроповичей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1 042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</w:p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B4FC2" w:rsidTr="00A70180">
        <w:trPr>
          <w:trHeight w:val="373"/>
          <w:tblCellSpacing w:w="0" w:type="dxa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/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B4FC2" w:rsidRDefault="00DB4FC2" w:rsidP="00A7018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DB4FC2" w:rsidRDefault="00DB4FC2" w:rsidP="00A7018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B4FC2" w:rsidRDefault="00DB4FC2" w:rsidP="00A7018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2" w:rsidRDefault="00DB4FC2" w:rsidP="00A7018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B4FC2" w:rsidRDefault="00DB4FC2" w:rsidP="00DB4FC2">
      <w:r>
        <w:rPr>
          <w:rFonts w:eastAsia="Calibri"/>
        </w:rPr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</w:t>
      </w:r>
    </w:p>
    <w:p w:rsidR="00DB4FC2" w:rsidRDefault="00DB4FC2" w:rsidP="00DB4FC2"/>
    <w:p w:rsidR="00B9690A" w:rsidRDefault="00B9690A"/>
    <w:sectPr w:rsidR="00B9690A" w:rsidSect="00B925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7"/>
    <w:rsid w:val="000917CE"/>
    <w:rsid w:val="0017200B"/>
    <w:rsid w:val="00192767"/>
    <w:rsid w:val="0048641D"/>
    <w:rsid w:val="005B304C"/>
    <w:rsid w:val="007B45E0"/>
    <w:rsid w:val="009546F0"/>
    <w:rsid w:val="00B9690A"/>
    <w:rsid w:val="00DB4DDF"/>
    <w:rsid w:val="00D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DBBE-6501-4AE0-9812-799D316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92767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92767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Надежда</cp:lastModifiedBy>
  <cp:revision>2</cp:revision>
  <dcterms:created xsi:type="dcterms:W3CDTF">2019-05-13T04:52:00Z</dcterms:created>
  <dcterms:modified xsi:type="dcterms:W3CDTF">2019-05-13T04:52:00Z</dcterms:modified>
</cp:coreProperties>
</file>