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C7" w:rsidRDefault="00B55B04">
      <w:pPr>
        <w:pStyle w:val="Heading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382270" cy="6318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C7" w:rsidRDefault="00724DC7">
      <w:pPr>
        <w:pStyle w:val="Heading2"/>
        <w:ind w:right="-284"/>
        <w:rPr>
          <w:sz w:val="16"/>
          <w:szCs w:val="16"/>
        </w:rPr>
      </w:pPr>
    </w:p>
    <w:p w:rsidR="00724DC7" w:rsidRDefault="00B55B04">
      <w:pPr>
        <w:pStyle w:val="Heading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724DC7" w:rsidRDefault="00B55B04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724DC7" w:rsidRDefault="00B55B04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2546" w:type="dxa"/>
        <w:tblInd w:w="291" w:type="dxa"/>
        <w:tblLayout w:type="fixed"/>
        <w:tblLook w:val="04A0"/>
      </w:tblPr>
      <w:tblGrid>
        <w:gridCol w:w="2546"/>
      </w:tblGrid>
      <w:tr w:rsidR="00724DC7">
        <w:trPr>
          <w:trHeight w:val="286"/>
        </w:trPr>
        <w:tc>
          <w:tcPr>
            <w:tcW w:w="2546" w:type="dxa"/>
          </w:tcPr>
          <w:p w:rsidR="00724DC7" w:rsidRDefault="00A3759A">
            <w:pPr>
              <w:widowControl w:val="0"/>
              <w:spacing w:after="0" w:line="240" w:lineRule="auto"/>
              <w:ind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page">
                    <wp:posOffset>814070</wp:posOffset>
                  </wp:positionH>
                  <wp:positionV relativeFrom="page">
                    <wp:posOffset>2177415</wp:posOffset>
                  </wp:positionV>
                  <wp:extent cx="2926080" cy="356870"/>
                  <wp:effectExtent l="19050" t="0" r="762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4DC7" w:rsidRDefault="00724DC7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1742" w:type="dxa"/>
        <w:tblLayout w:type="fixed"/>
        <w:tblLook w:val="04A0"/>
      </w:tblPr>
      <w:tblGrid>
        <w:gridCol w:w="7371"/>
      </w:tblGrid>
      <w:tr w:rsidR="00724DC7">
        <w:tc>
          <w:tcPr>
            <w:tcW w:w="7371" w:type="dxa"/>
          </w:tcPr>
          <w:p w:rsidR="00724DC7" w:rsidRDefault="00B55B04">
            <w:pPr>
              <w:pStyle w:val="NraWb"/>
              <w:spacing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724DC7" w:rsidRDefault="00B55B04">
            <w:pPr>
              <w:pStyle w:val="NraWb"/>
              <w:spacing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724DC7" w:rsidRDefault="00B55B04">
            <w:pPr>
              <w:pStyle w:val="NraWb"/>
              <w:spacing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 контролю</w:t>
            </w:r>
          </w:p>
          <w:p w:rsidR="00724DC7" w:rsidRDefault="00B55B04">
            <w:pPr>
              <w:pStyle w:val="NraWb"/>
              <w:spacing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сфере </w:t>
            </w:r>
            <w:r>
              <w:rPr>
                <w:color w:val="000000"/>
                <w:sz w:val="28"/>
                <w:szCs w:val="28"/>
              </w:rPr>
              <w:t>благоустройства на 2025 год</w:t>
            </w:r>
          </w:p>
        </w:tc>
      </w:tr>
    </w:tbl>
    <w:p w:rsidR="00724DC7" w:rsidRDefault="00724DC7">
      <w:pPr>
        <w:spacing w:after="0"/>
        <w:jc w:val="center"/>
        <w:rPr>
          <w:sz w:val="28"/>
          <w:szCs w:val="28"/>
        </w:rPr>
      </w:pPr>
    </w:p>
    <w:p w:rsidR="00724DC7" w:rsidRDefault="00B55B04">
      <w:pPr>
        <w:pStyle w:val="a4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ммы профилактики рисков причинения вреда (ущерба) охраняемым законом ценностям», решением Совета депутатов </w:t>
      </w:r>
      <w:r>
        <w:rPr>
          <w:rFonts w:ascii="Times New Roman" w:hAnsi="Times New Roman"/>
          <w:sz w:val="28"/>
          <w:szCs w:val="28"/>
        </w:rPr>
        <w:t>сельского поселения Надеждинский сельсовет Саракташского района Оренбургской областиот 30.09.2021г.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42 </w:t>
      </w:r>
      <w:r>
        <w:rPr>
          <w:rFonts w:ascii="Times New Roman" w:hAnsi="Times New Roman"/>
          <w:sz w:val="28"/>
          <w:szCs w:val="28"/>
        </w:rPr>
        <w:t>«О муниципальном контроле в сфере благоустро</w:t>
      </w:r>
      <w:r>
        <w:rPr>
          <w:rFonts w:ascii="Times New Roman" w:hAnsi="Times New Roman"/>
          <w:sz w:val="28"/>
          <w:szCs w:val="28"/>
        </w:rPr>
        <w:t>йства на территории сельского поселения Надеждинский сельсовет Саракташского района Оренбургской области», Уставом сельского поселения Надеждинский сельсовет Саракташского района Оренбургской области:</w:t>
      </w:r>
    </w:p>
    <w:p w:rsidR="00724DC7" w:rsidRDefault="00724DC7">
      <w:pPr>
        <w:pStyle w:val="a4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DC7" w:rsidRDefault="00B55B04">
      <w:pPr>
        <w:pStyle w:val="NraWb"/>
        <w:spacing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</w:t>
      </w:r>
      <w:r>
        <w:rPr>
          <w:color w:val="000000"/>
          <w:sz w:val="28"/>
          <w:szCs w:val="28"/>
          <w:shd w:val="clear" w:color="auto" w:fill="FFFFFF"/>
        </w:rPr>
        <w:t>вреда (ущерба) охраняемым законом ценностям по муниципальному контролю в сфере благоустройства на 2025 год согласно приложению к настоящему постановлению.</w:t>
      </w:r>
    </w:p>
    <w:p w:rsidR="00724DC7" w:rsidRDefault="00B55B04">
      <w:pPr>
        <w:pStyle w:val="NraWb"/>
        <w:spacing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момента подписания и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sz w:val="28"/>
          <w:szCs w:val="28"/>
        </w:rPr>
        <w:t xml:space="preserve">Надеждинский </w:t>
      </w:r>
      <w:r>
        <w:rPr>
          <w:bCs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  <w:shd w:val="clear" w:color="auto" w:fill="FFFFFF"/>
        </w:rPr>
        <w:t>в разделе «Муниципальный контроль»</w:t>
      </w:r>
      <w:r>
        <w:rPr>
          <w:bCs/>
          <w:sz w:val="28"/>
          <w:szCs w:val="28"/>
          <w:lang w:eastAsia="ar-SA"/>
        </w:rPr>
        <w:t xml:space="preserve"> и распространяется 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 января 2025 года.</w:t>
      </w:r>
    </w:p>
    <w:p w:rsidR="00724DC7" w:rsidRDefault="00A3759A">
      <w:pPr>
        <w:pStyle w:val="NraWb"/>
        <w:spacing w:beforeAutospacing="0" w:after="0"/>
        <w:ind w:firstLine="709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2878628</wp:posOffset>
            </wp:positionH>
            <wp:positionV relativeFrom="page">
              <wp:posOffset>8553797</wp:posOffset>
            </wp:positionV>
            <wp:extent cx="2025881" cy="76477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81" cy="76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B04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724DC7" w:rsidRDefault="00B55B04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сельсовета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О.А.Тимко</w:t>
      </w:r>
    </w:p>
    <w:p w:rsidR="00724DC7" w:rsidRDefault="00724DC7">
      <w:pPr>
        <w:widowControl w:val="0"/>
        <w:spacing w:after="120"/>
        <w:ind w:left="1416" w:firstLine="708"/>
        <w:rPr>
          <w:rFonts w:ascii="Times New Roman" w:eastAsia="Calibri" w:hAnsi="Times New Roman"/>
          <w:color w:val="000000"/>
          <w:kern w:val="2"/>
          <w:sz w:val="16"/>
          <w:szCs w:val="16"/>
        </w:rPr>
      </w:pPr>
    </w:p>
    <w:p w:rsidR="00A3759A" w:rsidRDefault="00A3759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24DC7" w:rsidRDefault="00B55B04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  <w:sectPr w:rsidR="00724DC7">
          <w:headerReference w:type="even" r:id="rId9"/>
          <w:headerReference w:type="default" r:id="rId10"/>
          <w:headerReference w:type="first" r:id="rId11"/>
          <w:pgSz w:w="11906" w:h="16838"/>
          <w:pgMar w:top="567" w:right="851" w:bottom="1134" w:left="1701" w:header="284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на сайт, администрации района, в дело</w:t>
      </w:r>
    </w:p>
    <w:p w:rsidR="00724DC7" w:rsidRDefault="00B55B04">
      <w:pPr>
        <w:spacing w:after="0"/>
        <w:ind w:left="5812" w:firstLine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24DC7" w:rsidRDefault="00B55B04">
      <w:pPr>
        <w:spacing w:after="0"/>
        <w:ind w:left="5812" w:firstLine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24DC7" w:rsidRDefault="00B55B04">
      <w:pPr>
        <w:spacing w:after="0"/>
        <w:ind w:left="5812" w:firstLine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 от 19.12.2024 № 70-п</w:t>
      </w:r>
    </w:p>
    <w:p w:rsidR="00724DC7" w:rsidRDefault="00B55B04">
      <w:pPr>
        <w:spacing w:after="0"/>
        <w:rPr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24DC7" w:rsidRDefault="00B55B04">
      <w:pPr>
        <w:pStyle w:val="NraWb"/>
        <w:spacing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24DC7" w:rsidRDefault="00B55B04">
      <w:pPr>
        <w:pStyle w:val="NraWb"/>
        <w:spacing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</w:p>
    <w:p w:rsidR="00724DC7" w:rsidRDefault="00B55B04">
      <w:pPr>
        <w:pStyle w:val="NraWb"/>
        <w:spacing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 муниципальному контролю в сфере благоустройства на 2025 год</w:t>
      </w:r>
    </w:p>
    <w:p w:rsidR="00724DC7" w:rsidRDefault="00724DC7">
      <w:pPr>
        <w:pStyle w:val="NraWb"/>
        <w:spacing w:beforeAutospacing="0" w:after="0"/>
        <w:jc w:val="center"/>
        <w:rPr>
          <w:sz w:val="28"/>
          <w:szCs w:val="28"/>
        </w:rPr>
      </w:pPr>
    </w:p>
    <w:tbl>
      <w:tblPr>
        <w:tblW w:w="15098" w:type="dxa"/>
        <w:tblInd w:w="13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475"/>
        <w:gridCol w:w="2999"/>
        <w:gridCol w:w="1034"/>
        <w:gridCol w:w="1582"/>
        <w:gridCol w:w="918"/>
        <w:gridCol w:w="2725"/>
        <w:gridCol w:w="5365"/>
      </w:tblGrid>
      <w:tr w:rsidR="00724DC7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</w:t>
            </w:r>
            <w:r>
              <w:rPr>
                <w:rFonts w:ascii="Times New Roman" w:hAnsi="Times New Roman" w:cs="Times New Roman"/>
                <w:b/>
                <w:bCs/>
              </w:rPr>
              <w:t>онтрольного органа, характеристика проблем, на решение которых направлена программа профилактики</w:t>
            </w:r>
          </w:p>
        </w:tc>
      </w:tr>
      <w:tr w:rsidR="00724DC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значения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 текущего состояния осуществления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</w:t>
            </w:r>
            <w:r>
              <w:rPr>
                <w:rFonts w:ascii="Times New Roman" w:hAnsi="Times New Roman" w:cs="Times New Roman"/>
              </w:rPr>
              <w:t xml:space="preserve">ройства территории </w:t>
            </w:r>
            <w:r>
              <w:rPr>
                <w:rFonts w:ascii="Times New Roman" w:hAnsi="Times New Roman" w:cs="Times New Roman"/>
                <w:color w:val="000000"/>
              </w:rPr>
              <w:t>сельского поселения Надеждинский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</w:rPr>
              <w:t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</w:t>
            </w:r>
            <w:r>
              <w:rPr>
                <w:rFonts w:ascii="Times New Roman" w:hAnsi="Times New Roman" w:cs="Times New Roman"/>
              </w:rPr>
              <w:t xml:space="preserve">х организации осуществления Администрацией </w:t>
            </w:r>
            <w:r>
              <w:rPr>
                <w:rFonts w:ascii="Times New Roman" w:hAnsi="Times New Roman" w:cs="Times New Roman"/>
                <w:color w:val="000000"/>
              </w:rPr>
              <w:t>сельского поселения Надеждинский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</w:rPr>
              <w:t>(далее – Администрация) мероприятий по профилактике нарушений требований, установленных федеральными законами и принимаемыми в со</w:t>
            </w:r>
            <w:r>
              <w:rPr>
                <w:rFonts w:ascii="Times New Roman" w:hAnsi="Times New Roman" w:cs="Times New Roman"/>
              </w:rPr>
              <w:t xml:space="preserve">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</w:t>
            </w:r>
            <w:r>
              <w:rPr>
                <w:rFonts w:ascii="Times New Roman" w:hAnsi="Times New Roman" w:cs="Times New Roman"/>
              </w:rPr>
              <w:t>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Программа распространяет свое действие на муниципальный контроль за соблюдением Правил благоустройст</w:t>
            </w:r>
            <w:r>
              <w:rPr>
                <w:rFonts w:ascii="Times New Roman" w:hAnsi="Times New Roman" w:cs="Times New Roman"/>
              </w:rPr>
              <w:t xml:space="preserve">ва территории Сельсовета и муниципальных нормативных правовых актов, </w:t>
            </w:r>
            <w:r>
              <w:rPr>
                <w:rFonts w:ascii="Times New Roman" w:hAnsi="Times New Roman" w:cs="Times New Roman"/>
              </w:rPr>
              <w:lastRenderedPageBreak/>
              <w:t>обязательных к применению при благоустройстве территории Сельсовета.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</w:t>
            </w:r>
            <w:r>
              <w:rPr>
                <w:rFonts w:ascii="Times New Roman" w:hAnsi="Times New Roman" w:cs="Times New Roman"/>
              </w:rPr>
              <w:t>ципальному контролю (контролируемые лица).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</w:t>
            </w:r>
            <w:r>
              <w:rPr>
                <w:rFonts w:ascii="Times New Roman" w:hAnsi="Times New Roman" w:cs="Times New Roman"/>
              </w:rPr>
              <w:t xml:space="preserve"> благоустройства осуществляется в соответствии с: 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Федеральным законом от 06.10.2003 N 131-ФЗ "Об общих принципах </w:t>
            </w:r>
            <w:r>
              <w:rPr>
                <w:rFonts w:ascii="Times New Roman" w:hAnsi="Times New Roman" w:cs="Times New Roman"/>
              </w:rPr>
              <w:t>организации местного самоуправления в Российской Федерации";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Кодексом Оренбургской области об административной ответственности;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Правилами благо</w:t>
            </w:r>
            <w:r>
              <w:rPr>
                <w:rFonts w:ascii="Times New Roman" w:hAnsi="Times New Roman"/>
              </w:rPr>
              <w:t xml:space="preserve">устройства территории муниципального образования Надеждинский сельсовет Саракташского района Оренбургской области, </w:t>
            </w:r>
            <w:r>
              <w:rPr>
                <w:rFonts w:ascii="Times New Roman" w:hAnsi="Times New Roman" w:cs="Times New Roman"/>
              </w:rPr>
              <w:t>утвержденными решением Совета  депутатов Надеждинского сельсовета Саракташского района Оренбургской области от 22.11.2017  № 82.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Плановы</w:t>
            </w:r>
            <w:r>
              <w:rPr>
                <w:rFonts w:ascii="Times New Roman" w:hAnsi="Times New Roman" w:cs="Times New Roman"/>
              </w:rPr>
              <w:t xml:space="preserve">х проверок в отношении граждан и организаций в 2023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предупреждения</w:t>
            </w:r>
            <w:r>
              <w:rPr>
                <w:rFonts w:ascii="Times New Roman" w:hAnsi="Times New Roman" w:cs="Times New Roman"/>
              </w:rPr>
              <w:t xml:space="preserve">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Правила благоустройства территории </w:t>
            </w:r>
            <w:r>
              <w:rPr>
                <w:rFonts w:ascii="Times New Roman" w:hAnsi="Times New Roman" w:cs="Times New Roman"/>
              </w:rPr>
              <w:t xml:space="preserve"> Надеждинского сельсовета.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отношении выявленных нарушений. 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 Анализ</w:t>
            </w:r>
            <w:r>
              <w:rPr>
                <w:rFonts w:ascii="Times New Roman" w:hAnsi="Times New Roman" w:cs="Times New Roman"/>
              </w:rPr>
              <w:t xml:space="preserve">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</w:t>
            </w:r>
            <w:r>
              <w:rPr>
                <w:rFonts w:ascii="Times New Roman" w:hAnsi="Times New Roman" w:cs="Times New Roman"/>
              </w:rPr>
              <w:t xml:space="preserve">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724DC7"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rPr>
                <w:sz w:val="24"/>
                <w:szCs w:val="24"/>
              </w:rPr>
            </w:pPr>
            <w:r>
              <w:lastRenderedPageBreak/>
              <w:t>1.2.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текущего развития профилактической деятельности 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059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 благоустройства территории Сельсовета осуществляется:</w:t>
            </w:r>
          </w:p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информирование о необходимости соблюдения Правил благоустройства территории Надеждинского сельсовета, посредством сайта Сельсовета, публикации в периодических изданиях, социальных сетей;</w:t>
            </w:r>
          </w:p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</w:t>
            </w:r>
            <w:r>
              <w:rPr>
                <w:sz w:val="24"/>
                <w:szCs w:val="24"/>
              </w:rPr>
              <w:t>и Сельсовета;</w:t>
            </w:r>
          </w:p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rPr>
                <w:sz w:val="24"/>
                <w:szCs w:val="24"/>
              </w:rPr>
            </w:pPr>
            <w:r>
              <w:t>1.3.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724DC7" w:rsidRDefault="00B55B04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несформированное  понимание исполнения требований в </w:t>
            </w:r>
            <w:r>
              <w:rPr>
                <w:rFonts w:ascii="Times New Roman" w:hAnsi="Times New Roman" w:cs="Times New Roman"/>
              </w:rPr>
              <w:t>сфере благоустройства у субъектов контроля;</w:t>
            </w:r>
          </w:p>
          <w:p w:rsidR="00724DC7" w:rsidRDefault="00B55B04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24DC7" w:rsidRDefault="00B55B04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>
              <w:rPr>
                <w:rFonts w:ascii="Times New Roman" w:hAnsi="Times New Roman" w:cs="Times New Roman"/>
              </w:rPr>
              <w:t>в) несозданная система обратной связи с субъектами контроля по вопросам применения тре</w:t>
            </w:r>
            <w:r>
              <w:rPr>
                <w:rFonts w:ascii="Times New Roman" w:hAnsi="Times New Roman" w:cs="Times New Roman"/>
              </w:rPr>
              <w:t>бований правил благоустройства</w:t>
            </w:r>
            <w:r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724DC7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реализации 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1. Стимулирование добросовестного соблюдения обязательных требований всеми контролируемыми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лицами.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шение информированности о способах их соблюдения.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rPr>
                <w:sz w:val="24"/>
                <w:szCs w:val="24"/>
              </w:rPr>
            </w:pPr>
            <w:r>
              <w:lastRenderedPageBreak/>
              <w:t>2.2.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реализации программы профилактики</w:t>
            </w:r>
          </w:p>
          <w:p w:rsidR="00724DC7" w:rsidRDefault="00724D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ц, индивидуальных предпринимателей и граждан.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их возникновения.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 Российской Федерации о муниципальном контроле.</w:t>
            </w:r>
          </w:p>
        </w:tc>
      </w:tr>
      <w:tr w:rsidR="00724DC7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 П</w:t>
            </w:r>
            <w:r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724DC7" w:rsidRDefault="00724DC7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и (или) должностные лица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Администрации, ответственные за реализацию профилактического мероприятия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724DC7">
        <w:tc>
          <w:tcPr>
            <w:tcW w:w="47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724DC7" w:rsidRDefault="00724DC7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724DC7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24DC7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724DC7" w:rsidRDefault="00B55B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письменной форме при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письменном обращении</w:t>
            </w:r>
          </w:p>
        </w:tc>
        <w:tc>
          <w:tcPr>
            <w:tcW w:w="353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B55B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 устной форме (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по телефону,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24DC7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Вопросы, по которым осуществляется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консультирование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24DC7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2. Содержание правового статуса (права, обязанности, ответственность) участников отношений 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контроля.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4DC7" w:rsidRDefault="00724D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24DC7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724DC7" w:rsidRDefault="00B55B04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724DC7" w:rsidRDefault="00B55B0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724DC7" w:rsidRDefault="00B55B04">
            <w:pPr>
              <w:pStyle w:val="sfont1"/>
              <w:spacing w:beforeAutospacing="0"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724DC7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724DC7" w:rsidRDefault="00B55B04">
            <w:pPr>
              <w:widowControl w:val="0"/>
            </w:pPr>
            <w:r>
              <w:t>4.1.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724DC7" w:rsidRDefault="00B55B0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и иных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заинтересованных лиц по вопросам соблюдения обязательных требований.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24DC7" w:rsidRDefault="00B55B0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4. Снижение количест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24DC7" w:rsidRDefault="00724DC7">
      <w:pPr>
        <w:sectPr w:rsidR="00724DC7">
          <w:headerReference w:type="default" r:id="rId12"/>
          <w:headerReference w:type="first" r:id="rId13"/>
          <w:pgSz w:w="16838" w:h="11906" w:orient="landscape"/>
          <w:pgMar w:top="851" w:right="1134" w:bottom="1701" w:left="567" w:header="284" w:footer="0" w:gutter="0"/>
          <w:cols w:space="720"/>
          <w:formProt w:val="0"/>
          <w:docGrid w:linePitch="100" w:charSpace="8192"/>
        </w:sectPr>
      </w:pPr>
    </w:p>
    <w:p w:rsidR="00724DC7" w:rsidRDefault="00724DC7"/>
    <w:sectPr w:rsidR="00724DC7" w:rsidSect="00724DC7">
      <w:headerReference w:type="default" r:id="rId14"/>
      <w:headerReference w:type="first" r:id="rId15"/>
      <w:pgSz w:w="11906" w:h="16838"/>
      <w:pgMar w:top="1134" w:right="850" w:bottom="1134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04" w:rsidRDefault="00B55B04" w:rsidP="00724DC7">
      <w:pPr>
        <w:spacing w:after="0" w:line="240" w:lineRule="auto"/>
      </w:pPr>
      <w:r>
        <w:separator/>
      </w:r>
    </w:p>
  </w:endnote>
  <w:endnote w:type="continuationSeparator" w:id="1">
    <w:p w:rsidR="00B55B04" w:rsidRDefault="00B55B04" w:rsidP="0072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04" w:rsidRDefault="00B55B04" w:rsidP="00724DC7">
      <w:pPr>
        <w:spacing w:after="0" w:line="240" w:lineRule="auto"/>
      </w:pPr>
      <w:r>
        <w:separator/>
      </w:r>
    </w:p>
  </w:footnote>
  <w:footnote w:type="continuationSeparator" w:id="1">
    <w:p w:rsidR="00B55B04" w:rsidRDefault="00B55B04" w:rsidP="0072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C7" w:rsidRDefault="00724DC7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 strokeweight="0">
          <v:fill opacity="0"/>
          <v:textbox inset="0,0,0,0">
            <w:txbxContent>
              <w:p w:rsidR="00724DC7" w:rsidRDefault="00724DC7">
                <w:pPr>
                  <w:pStyle w:val="Header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 w:rsidR="00B55B04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B55B04">
                  <w:rPr>
                    <w:rStyle w:val="a8"/>
                  </w:rPr>
                  <w:t>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C7" w:rsidRDefault="00724D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C7" w:rsidRDefault="00724DC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C7" w:rsidRDefault="00724DC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C7" w:rsidRDefault="00724DC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C7" w:rsidRDefault="00724DC7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C7" w:rsidRDefault="00724D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4DC7"/>
    <w:rsid w:val="00724DC7"/>
    <w:rsid w:val="00A3759A"/>
    <w:rsid w:val="00B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067C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qFormat/>
    <w:rsid w:val="00067C0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бычный (веб) Знак"/>
    <w:link w:val="a4"/>
    <w:qFormat/>
    <w:locked/>
    <w:rsid w:val="00067C0A"/>
    <w:rPr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67C0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Header"/>
    <w:uiPriority w:val="99"/>
    <w:semiHidden/>
    <w:qFormat/>
    <w:rsid w:val="005D315E"/>
  </w:style>
  <w:style w:type="character" w:customStyle="1" w:styleId="1">
    <w:name w:val="Верхний колонтитул Знак1"/>
    <w:basedOn w:val="a0"/>
    <w:link w:val="Header"/>
    <w:uiPriority w:val="99"/>
    <w:qFormat/>
    <w:locked/>
    <w:rsid w:val="005D315E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8">
    <w:name w:val="page number"/>
    <w:basedOn w:val="a0"/>
    <w:qFormat/>
    <w:rsid w:val="005D315E"/>
  </w:style>
  <w:style w:type="paragraph" w:customStyle="1" w:styleId="Heading">
    <w:name w:val="Heading"/>
    <w:basedOn w:val="a"/>
    <w:next w:val="a9"/>
    <w:qFormat/>
    <w:rsid w:val="00E13F4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E13F49"/>
    <w:pPr>
      <w:spacing w:after="140"/>
    </w:pPr>
  </w:style>
  <w:style w:type="paragraph" w:styleId="aa">
    <w:name w:val="List"/>
    <w:basedOn w:val="a9"/>
    <w:rsid w:val="00E13F49"/>
  </w:style>
  <w:style w:type="paragraph" w:customStyle="1" w:styleId="Caption">
    <w:name w:val="Caption"/>
    <w:basedOn w:val="a"/>
    <w:qFormat/>
    <w:rsid w:val="00E13F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13F49"/>
    <w:pPr>
      <w:suppressLineNumbers/>
    </w:pPr>
  </w:style>
  <w:style w:type="paragraph" w:styleId="a4">
    <w:name w:val="Normal (Web)"/>
    <w:basedOn w:val="a"/>
    <w:link w:val="a3"/>
    <w:unhideWhenUsed/>
    <w:qFormat/>
    <w:rsid w:val="00067C0A"/>
    <w:pPr>
      <w:spacing w:beforeAutospacing="1" w:afterAutospacing="1" w:line="240" w:lineRule="auto"/>
    </w:pPr>
    <w:rPr>
      <w:sz w:val="24"/>
      <w:szCs w:val="24"/>
    </w:rPr>
  </w:style>
  <w:style w:type="paragraph" w:customStyle="1" w:styleId="NraWb">
    <w:name w:val="N*r*a* *W*b*"/>
    <w:basedOn w:val="a"/>
    <w:uiPriority w:val="99"/>
    <w:semiHidden/>
    <w:qFormat/>
    <w:rsid w:val="00067C0A"/>
    <w:pPr>
      <w:widowControl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067C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E13F49"/>
  </w:style>
  <w:style w:type="paragraph" w:customStyle="1" w:styleId="Header">
    <w:name w:val="Header"/>
    <w:basedOn w:val="a"/>
    <w:link w:val="1"/>
    <w:uiPriority w:val="99"/>
    <w:rsid w:val="005D315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Nra">
    <w:name w:val="N*r*a*"/>
    <w:uiPriority w:val="99"/>
    <w:semiHidden/>
    <w:qFormat/>
    <w:rsid w:val="005D315E"/>
    <w:pPr>
      <w:widowControl w:val="0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qFormat/>
    <w:rsid w:val="005D315E"/>
    <w:pPr>
      <w:spacing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a"/>
    <w:qFormat/>
    <w:rsid w:val="00E13F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2024-03-22T10:28:00Z</cp:lastPrinted>
  <dcterms:created xsi:type="dcterms:W3CDTF">2024-12-23T06:23:00Z</dcterms:created>
  <dcterms:modified xsi:type="dcterms:W3CDTF">2024-12-23T06:23:00Z</dcterms:modified>
  <dc:language>ru-RU</dc:language>
</cp:coreProperties>
</file>